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tabs>
          <w:tab w:val="left" w:pos="8070"/>
        </w:tabs>
        <w:ind w:firstLine="567"/>
        <w:rPr>
          <w:sz w:val="16"/>
          <w:szCs w:val="16"/>
          <w:lang w:val="uk-UA"/>
        </w:rPr>
      </w:pPr>
      <w:r w:rsidRPr="009C3F31">
        <w:rPr>
          <w:b/>
          <w:sz w:val="16"/>
          <w:szCs w:val="16"/>
          <w:lang w:val="uk-UA"/>
        </w:rPr>
        <w:t xml:space="preserve">                                                                                                   </w:t>
      </w:r>
      <w:r>
        <w:rPr>
          <w:b/>
          <w:sz w:val="16"/>
          <w:szCs w:val="16"/>
          <w:lang w:val="uk-UA"/>
        </w:rPr>
        <w:t xml:space="preserve">                                                     </w:t>
      </w:r>
      <w:r w:rsidRPr="009C3F31">
        <w:rPr>
          <w:b/>
          <w:sz w:val="16"/>
          <w:szCs w:val="16"/>
          <w:lang w:val="uk-UA"/>
        </w:rPr>
        <w:t xml:space="preserve"> </w:t>
      </w:r>
      <w:r>
        <w:rPr>
          <w:b/>
          <w:sz w:val="16"/>
          <w:szCs w:val="16"/>
          <w:lang w:val="uk-UA"/>
        </w:rPr>
        <w:t xml:space="preserve">      </w:t>
      </w:r>
      <w:r w:rsidRPr="009C3F31">
        <w:rPr>
          <w:b/>
          <w:sz w:val="16"/>
          <w:szCs w:val="16"/>
          <w:lang w:val="uk-UA"/>
        </w:rPr>
        <w:t xml:space="preserve"> </w:t>
      </w:r>
      <w:r w:rsidRPr="009C3F31">
        <w:rPr>
          <w:sz w:val="16"/>
          <w:szCs w:val="16"/>
          <w:lang w:val="uk-UA"/>
        </w:rPr>
        <w:t>Додаток 2</w:t>
      </w:r>
    </w:p>
    <w:p w:rsidR="009C3F31" w:rsidRPr="009C3F31" w:rsidRDefault="009C3F31" w:rsidP="009C3F31">
      <w:pPr>
        <w:ind w:firstLine="567"/>
        <w:rPr>
          <w:sz w:val="16"/>
          <w:szCs w:val="16"/>
          <w:lang w:val="uk-UA"/>
        </w:rPr>
      </w:pPr>
      <w:r w:rsidRPr="009C3F31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до рішення Переяславської міської ради</w:t>
      </w:r>
    </w:p>
    <w:p w:rsidR="009C3F31" w:rsidRPr="009C3F31" w:rsidRDefault="009C3F31" w:rsidP="009C3F31">
      <w:pPr>
        <w:tabs>
          <w:tab w:val="left" w:pos="6435"/>
        </w:tabs>
        <w:ind w:firstLine="567"/>
        <w:rPr>
          <w:sz w:val="16"/>
          <w:szCs w:val="16"/>
          <w:lang w:val="uk-UA"/>
        </w:rPr>
      </w:pPr>
      <w:r w:rsidRPr="009C3F31">
        <w:rPr>
          <w:sz w:val="16"/>
          <w:szCs w:val="16"/>
          <w:lang w:val="uk-UA"/>
        </w:rPr>
        <w:t xml:space="preserve"> </w:t>
      </w:r>
      <w:r w:rsidRPr="009C3F31">
        <w:rPr>
          <w:sz w:val="16"/>
          <w:szCs w:val="16"/>
          <w:lang w:val="uk-UA"/>
        </w:rPr>
        <w:tab/>
        <w:t xml:space="preserve">             </w:t>
      </w:r>
      <w:r w:rsidR="00464B5D">
        <w:rPr>
          <w:sz w:val="16"/>
          <w:szCs w:val="16"/>
          <w:lang w:val="uk-UA"/>
        </w:rPr>
        <w:t xml:space="preserve">від «____»____________2026 р. </w:t>
      </w:r>
      <w:r w:rsidR="00464B5D" w:rsidRPr="00464B5D">
        <w:rPr>
          <w:sz w:val="16"/>
          <w:szCs w:val="16"/>
          <w:lang w:val="uk-UA"/>
        </w:rPr>
        <w:t>№ 1</w:t>
      </w:r>
      <w:r w:rsidR="00B208D3">
        <w:rPr>
          <w:sz w:val="16"/>
          <w:szCs w:val="16"/>
          <w:lang w:val="uk-UA"/>
        </w:rPr>
        <w:t>6</w:t>
      </w:r>
      <w:bookmarkStart w:id="0" w:name="_GoBack"/>
      <w:bookmarkEnd w:id="0"/>
      <w:r w:rsidR="00464B5D" w:rsidRPr="00464B5D">
        <w:rPr>
          <w:sz w:val="16"/>
          <w:szCs w:val="16"/>
          <w:lang w:val="uk-UA"/>
        </w:rPr>
        <w:t>п-125-VIIІ</w:t>
      </w:r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ind w:firstLine="567"/>
        <w:jc w:val="center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Звіт </w:t>
      </w:r>
    </w:p>
    <w:p w:rsidR="009C3F31" w:rsidRPr="009C3F31" w:rsidRDefault="009C3F31" w:rsidP="009C3F31">
      <w:pPr>
        <w:ind w:firstLine="567"/>
        <w:jc w:val="center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про роботу КНП «Переяславська БЛІЛ»  за 3 місяці 2026 року.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Діяльність медиків КНП «Переяславська БЛІЛ» спрямована на  реалізацію планів виконання 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КНП « Переяславська багатопрофільна лікарня інтенсивного лікування» розрахована на 220 ліжок.  </w:t>
      </w:r>
    </w:p>
    <w:p w:rsidR="009C3F31" w:rsidRPr="009C3F31" w:rsidRDefault="009C3F31" w:rsidP="009C3F31">
      <w:pPr>
        <w:ind w:left="567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БЛІЛ займає площу 5,85 га, розміщена в 7 корпусах: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Хірургічний корпус – 3362,5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Терапевтичний – 6317,4 м² 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Інфекційний – 1033,1 м² 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Адміністративний – 623,9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Стоматологічний – 698,6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Поліклінічний – 3089,3 м²</w:t>
      </w:r>
    </w:p>
    <w:p w:rsidR="009C3F31" w:rsidRPr="009C3F31" w:rsidRDefault="009C3F31" w:rsidP="009C3F31">
      <w:pPr>
        <w:pStyle w:val="a5"/>
        <w:numPr>
          <w:ilvl w:val="0"/>
          <w:numId w:val="1"/>
        </w:numPr>
        <w:ind w:left="426" w:firstLine="142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Патологоанатомічний корпус – 598,6 м²</w:t>
      </w:r>
    </w:p>
    <w:p w:rsidR="009C3F31" w:rsidRPr="009C3F31" w:rsidRDefault="009C3F31" w:rsidP="009C3F31">
      <w:pPr>
        <w:pStyle w:val="2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  Харчування хворих забезпечується роботою власного харчоблоку, розрахованого на 500 порцій на добу з столами дієтичного харчування.</w:t>
      </w:r>
    </w:p>
    <w:p w:rsidR="009C3F31" w:rsidRPr="009C3F31" w:rsidRDefault="009C3F31" w:rsidP="009C3F31">
      <w:pPr>
        <w:pStyle w:val="2"/>
        <w:rPr>
          <w:b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    Першочергово надається допомога  військовослужбовцям з пораненнями та іншими захворюваннями. 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Штати.</w:t>
      </w:r>
    </w:p>
    <w:p w:rsidR="009C3F31" w:rsidRPr="009C3F31" w:rsidRDefault="009C3F31" w:rsidP="009C3F31">
      <w:pPr>
        <w:pStyle w:val="a3"/>
        <w:ind w:firstLine="720"/>
        <w:jc w:val="both"/>
        <w:rPr>
          <w:sz w:val="23"/>
          <w:szCs w:val="23"/>
        </w:rPr>
      </w:pPr>
      <w:r w:rsidRPr="009C3F31">
        <w:rPr>
          <w:sz w:val="23"/>
          <w:szCs w:val="23"/>
        </w:rPr>
        <w:t xml:space="preserve">Всього по КНП «Переяславська БЛІЛ» – 101,75 посад лікарів (фізичних осіб – 64) та 173,50 посад середніх медпрацівників (фізичних осіб – 145). 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В КНП «Переяславська БЛІЛ»  на 476,25 посадах працює 379 осіб.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Забезпеченість лікарськими посадами на </w:t>
      </w:r>
      <w:r w:rsidRPr="009C3F31">
        <w:rPr>
          <w:color w:val="000000"/>
          <w:sz w:val="23"/>
          <w:szCs w:val="23"/>
        </w:rPr>
        <w:t xml:space="preserve">10 </w:t>
      </w:r>
      <w:r w:rsidRPr="009C3F31">
        <w:rPr>
          <w:color w:val="000000"/>
          <w:sz w:val="23"/>
          <w:szCs w:val="23"/>
          <w:lang w:val="uk-UA"/>
        </w:rPr>
        <w:t xml:space="preserve">тис. населення </w:t>
      </w:r>
      <w:r w:rsidRPr="009C3F31">
        <w:rPr>
          <w:color w:val="000000"/>
          <w:sz w:val="23"/>
          <w:szCs w:val="23"/>
        </w:rPr>
        <w:t>–</w:t>
      </w:r>
      <w:r w:rsidRPr="009C3F31">
        <w:rPr>
          <w:color w:val="000000"/>
          <w:sz w:val="23"/>
          <w:szCs w:val="23"/>
          <w:lang w:val="uk-UA"/>
        </w:rPr>
        <w:t xml:space="preserve"> 19,3%.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Укомплектованість фізичними особами по КНП «Переяславська БЛІЛ» – 79,6 %.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Забезпеченість посадами середніх медпрацівників на 10 тис. населення по КНП «Переяславська БЛІЛ» становить – 43,8%. </w:t>
      </w:r>
    </w:p>
    <w:p w:rsidR="009C3F31" w:rsidRPr="009C3F31" w:rsidRDefault="009C3F31" w:rsidP="009C3F31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Стан здоров</w:t>
      </w:r>
      <w:r w:rsidRPr="009C3F31">
        <w:rPr>
          <w:b/>
          <w:sz w:val="23"/>
          <w:szCs w:val="23"/>
        </w:rPr>
        <w:t>’</w:t>
      </w:r>
      <w:r w:rsidRPr="009C3F31">
        <w:rPr>
          <w:b/>
          <w:sz w:val="23"/>
          <w:szCs w:val="23"/>
          <w:lang w:val="uk-UA"/>
        </w:rPr>
        <w:t>я населення.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Об'єм амбулаторної  і стаціонарної допомоги змінився в порівняні з минулим роком. 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Всього в стаціонарі проліковано </w:t>
      </w:r>
      <w:r w:rsidRPr="009C3F31">
        <w:rPr>
          <w:b/>
          <w:sz w:val="23"/>
          <w:szCs w:val="23"/>
          <w:lang w:val="uk-UA"/>
        </w:rPr>
        <w:t>за 3 міс. 2026 року -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b/>
          <w:sz w:val="23"/>
          <w:szCs w:val="23"/>
          <w:lang w:val="uk-UA"/>
        </w:rPr>
        <w:t>1829 хворих. ( 2121 –   3 міс. 2025 р. 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Онкохворих виявлено вперше </w:t>
      </w:r>
      <w:r w:rsidRPr="009C3F31">
        <w:rPr>
          <w:b/>
          <w:sz w:val="23"/>
          <w:szCs w:val="23"/>
          <w:lang w:val="uk-UA"/>
        </w:rPr>
        <w:t>за 3 міс. 2026 року -  16 (22 за  3 міс. 2025 р)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Рівень первинної інвалідності :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( 28 осіб за 3 міс. 2026 р.  – 16 осіб за 3 міс. 2025 р.)</w:t>
      </w:r>
    </w:p>
    <w:p w:rsidR="009C3F31" w:rsidRPr="009C3F31" w:rsidRDefault="009C3F31" w:rsidP="009C3F31">
      <w:pPr>
        <w:ind w:firstLine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В структурі консультативно-діагностичної поліклініки працює жіноча консультація, взято на        </w:t>
      </w:r>
    </w:p>
    <w:p w:rsidR="009C3F31" w:rsidRPr="009C3F31" w:rsidRDefault="009C3F31" w:rsidP="009C3F31">
      <w:pPr>
        <w:ind w:firstLine="709"/>
        <w:jc w:val="both"/>
        <w:rPr>
          <w:b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облік </w:t>
      </w:r>
      <w:r w:rsidRPr="009C3F31">
        <w:rPr>
          <w:b/>
          <w:sz w:val="23"/>
          <w:szCs w:val="23"/>
          <w:lang w:val="uk-UA"/>
        </w:rPr>
        <w:t>за 3 міс. 2026 року 80 вагітних (37 – 3 міс. 2025 р.).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За 3 міс. 2026 року заклад </w:t>
      </w:r>
      <w:r w:rsidRPr="009C3F31">
        <w:rPr>
          <w:sz w:val="23"/>
          <w:szCs w:val="23"/>
          <w:lang w:val="uk-UA"/>
        </w:rPr>
        <w:t xml:space="preserve">було профінансовано на </w:t>
      </w:r>
      <w:r w:rsidRPr="009C3F31">
        <w:rPr>
          <w:b/>
          <w:sz w:val="23"/>
          <w:szCs w:val="23"/>
          <w:lang w:val="uk-UA"/>
        </w:rPr>
        <w:t>суму 24756,8</w:t>
      </w:r>
      <w:r w:rsidRPr="009C3F31">
        <w:rPr>
          <w:sz w:val="23"/>
          <w:szCs w:val="23"/>
          <w:lang w:val="uk-UA"/>
        </w:rPr>
        <w:t>тис. грн. ,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з них: кошти місцевого бюджету громад – 3383,4 тис. грн.  (на оплату комунальних 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послуг);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кошти по договору з НСЗУ – 19805,3 тис. грн.;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власні кошти під–ва – 1568,1 тис. грн.,</w:t>
      </w:r>
    </w:p>
    <w:p w:rsidR="009C3F31" w:rsidRPr="009C3F31" w:rsidRDefault="009C3F31" w:rsidP="009C3F31">
      <w:pPr>
        <w:ind w:left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За   3 міс. 2026  року шляхом  централізованого постачання та благодійної  допомоги  надійшло :</w:t>
      </w:r>
    </w:p>
    <w:p w:rsidR="009C3F31" w:rsidRPr="009C3F31" w:rsidRDefault="009C3F31" w:rsidP="009C3F31">
      <w:pPr>
        <w:ind w:left="709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Централізоване постачання – 308,1 тис. грн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</w:t>
      </w:r>
      <w:r w:rsidRPr="009C3F31">
        <w:rPr>
          <w:sz w:val="23"/>
          <w:szCs w:val="23"/>
          <w:lang w:val="uk-UA"/>
        </w:rPr>
        <w:tab/>
        <w:t>КЕКВ 2220 (Медикаменти та перев'язувальні матеріали) – 308,1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>Інші джерела позабюджетних надходжень – 352,6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2210 (Предмети, матеріали, обладнання та інвентар) – 40,0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2220 (Медикаменти та перев'язувальні матеріали) –  239,8 тис. грн.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2230 (Продукти харчування) – 42,8 тис. грн. </w:t>
      </w:r>
    </w:p>
    <w:p w:rsidR="009C3F31" w:rsidRPr="009C3F31" w:rsidRDefault="009C3F31" w:rsidP="009C3F31">
      <w:pPr>
        <w:ind w:left="709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       - КЕКВ 3110 (Придбання обладнання і предметів довгострокового користування) – 30,0 тис. грн.</w:t>
      </w:r>
    </w:p>
    <w:p w:rsidR="009C3F31" w:rsidRPr="009C3F31" w:rsidRDefault="009C3F31" w:rsidP="009C3F31">
      <w:pPr>
        <w:ind w:left="709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color w:val="000000"/>
          <w:sz w:val="23"/>
          <w:szCs w:val="23"/>
          <w:lang w:val="uk-UA"/>
        </w:rPr>
        <w:t xml:space="preserve">Кошти місцевого бюджету громад </w:t>
      </w:r>
      <w:r w:rsidRPr="009C3F31">
        <w:rPr>
          <w:b/>
          <w:sz w:val="23"/>
          <w:szCs w:val="23"/>
          <w:lang w:val="uk-UA"/>
        </w:rPr>
        <w:t>використано– 3383,4 тис</w:t>
      </w:r>
      <w:r w:rsidRPr="009C3F31">
        <w:rPr>
          <w:b/>
          <w:color w:val="000000"/>
          <w:sz w:val="23"/>
          <w:szCs w:val="23"/>
          <w:lang w:val="uk-UA"/>
        </w:rPr>
        <w:t>. грн., а саме, на:</w:t>
      </w:r>
      <w:r w:rsidRPr="009C3F31">
        <w:rPr>
          <w:color w:val="000000"/>
          <w:sz w:val="23"/>
          <w:szCs w:val="23"/>
          <w:lang w:val="uk-UA"/>
        </w:rPr>
        <w:t xml:space="preserve"> </w:t>
      </w:r>
      <w:r w:rsidRPr="009C3F31">
        <w:rPr>
          <w:sz w:val="23"/>
          <w:szCs w:val="23"/>
          <w:lang w:val="uk-UA"/>
        </w:rPr>
        <w:t>теплопостачання – 2841,6 тис. грн.; водопостачання – 36,8 тис. грн., водовідведення – 67,8 тис. грн.; електроенергія – 141,3 тис. грн., побутові відходи – 9,5 тис. грн.,</w:t>
      </w:r>
      <w:r w:rsidRPr="009C3F31">
        <w:rPr>
          <w:color w:val="000000"/>
          <w:sz w:val="23"/>
          <w:szCs w:val="23"/>
          <w:lang w:val="uk-UA"/>
        </w:rPr>
        <w:t xml:space="preserve"> ПММ – 286,4 тис. грн.)</w:t>
      </w: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Кошти НСЗУ по всіх пакетах використано всього  - 21116,6 </w:t>
      </w:r>
      <w:r w:rsidRPr="009C3F31">
        <w:rPr>
          <w:sz w:val="23"/>
          <w:szCs w:val="23"/>
          <w:lang w:val="uk-UA"/>
        </w:rPr>
        <w:t>тис. грн..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lastRenderedPageBreak/>
        <w:t>Із них на: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2111 (Заробітна плата) – 15592,2 тис. грн.;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2120 (Нарахування на оплату праці) – 3425,5 тис. грн.;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- </w:t>
      </w:r>
      <w:r w:rsidRPr="009C3F31">
        <w:rPr>
          <w:sz w:val="23"/>
          <w:szCs w:val="23"/>
          <w:lang w:val="uk-UA"/>
        </w:rPr>
        <w:t xml:space="preserve">КЕКВ 2210 (Предмети, матеріали, обладнання та інвентар) – 235,0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-  КЕКВ 2220 (Медикаменти та перев'язувальні матеріали) –  974,8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2230 (Продукти харчування) – 238,1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>-  КЕКВ 2240 (Оплата послуг (крім комунальних)) – 549.</w:t>
      </w:r>
      <w:r w:rsidRPr="009C3F31">
        <w:rPr>
          <w:sz w:val="23"/>
          <w:szCs w:val="23"/>
        </w:rPr>
        <w:t>2</w:t>
      </w:r>
      <w:r w:rsidRPr="009C3F31">
        <w:rPr>
          <w:sz w:val="23"/>
          <w:szCs w:val="23"/>
          <w:lang w:val="uk-UA"/>
        </w:rPr>
        <w:t xml:space="preserve"> тис</w:t>
      </w:r>
      <w:r w:rsidRPr="009C3F31">
        <w:rPr>
          <w:color w:val="000000"/>
          <w:sz w:val="23"/>
          <w:szCs w:val="23"/>
          <w:lang w:val="uk-UA"/>
        </w:rPr>
        <w:t>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- КЕКВ 3110 (Придбання обладнання і предметів довгострокового користування) – 101,8 тис. грн. </w:t>
      </w: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</w:p>
    <w:p w:rsidR="009C3F31" w:rsidRPr="009C3F31" w:rsidRDefault="009C3F31" w:rsidP="009C3F31">
      <w:pPr>
        <w:ind w:left="284" w:firstLine="425"/>
        <w:jc w:val="both"/>
        <w:rPr>
          <w:b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Кошти, отримані від платних послуг </w:t>
      </w:r>
      <w:r w:rsidRPr="009C3F31">
        <w:rPr>
          <w:b/>
          <w:color w:val="000000"/>
          <w:sz w:val="23"/>
          <w:szCs w:val="23"/>
          <w:lang w:val="uk-UA"/>
        </w:rPr>
        <w:t>використано</w:t>
      </w:r>
      <w:r w:rsidRPr="009C3F31">
        <w:rPr>
          <w:b/>
          <w:sz w:val="23"/>
          <w:szCs w:val="23"/>
          <w:lang w:val="uk-UA"/>
        </w:rPr>
        <w:t xml:space="preserve">  в сумі  1563,1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b/>
          <w:sz w:val="23"/>
          <w:szCs w:val="23"/>
          <w:lang w:val="uk-UA"/>
        </w:rPr>
        <w:t>тис</w:t>
      </w:r>
      <w:r w:rsidRPr="009C3F31">
        <w:rPr>
          <w:b/>
          <w:color w:val="000000"/>
          <w:sz w:val="23"/>
          <w:szCs w:val="23"/>
          <w:lang w:val="uk-UA"/>
        </w:rPr>
        <w:t>. грн., на: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2111 (Заробітна плата) – 202,2 тис. грн.;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2120 (Нарахування на оплату праці) – 44,5 тис. грн.;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- </w:t>
      </w:r>
      <w:r w:rsidRPr="009C3F31">
        <w:rPr>
          <w:sz w:val="23"/>
          <w:szCs w:val="23"/>
          <w:lang w:val="uk-UA"/>
        </w:rPr>
        <w:t xml:space="preserve">КЕКВ 2210 (Предмети, матеріали, обладнання та інвентар) – 53,8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2220 (Медикаменти та перев'язувальні матеріали) –  2,1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- КЕКВ 2230 (Продукти харчування) –  15,0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2240 (Оплата послуг (крім комунальних) – </w:t>
      </w:r>
      <w:r w:rsidRPr="009C3F31">
        <w:rPr>
          <w:sz w:val="23"/>
          <w:szCs w:val="23"/>
        </w:rPr>
        <w:t>673</w:t>
      </w:r>
      <w:r w:rsidRPr="009C3F31">
        <w:rPr>
          <w:sz w:val="23"/>
          <w:szCs w:val="23"/>
          <w:lang w:val="uk-UA"/>
        </w:rPr>
        <w:t>,</w:t>
      </w:r>
      <w:r w:rsidRPr="009C3F31">
        <w:rPr>
          <w:sz w:val="23"/>
          <w:szCs w:val="23"/>
        </w:rPr>
        <w:t>7</w:t>
      </w:r>
      <w:r w:rsidRPr="009C3F31">
        <w:rPr>
          <w:sz w:val="23"/>
          <w:szCs w:val="23"/>
          <w:lang w:val="uk-UA"/>
        </w:rPr>
        <w:t xml:space="preserve"> </w:t>
      </w:r>
      <w:r w:rsidRPr="009C3F31">
        <w:rPr>
          <w:color w:val="000000"/>
          <w:sz w:val="23"/>
          <w:szCs w:val="23"/>
          <w:lang w:val="uk-UA"/>
        </w:rPr>
        <w:t>тис. грн.</w:t>
      </w:r>
    </w:p>
    <w:p w:rsidR="009C3F31" w:rsidRPr="009C3F31" w:rsidRDefault="009C3F31" w:rsidP="009C3F31">
      <w:pPr>
        <w:ind w:left="284" w:firstLine="425"/>
        <w:jc w:val="both"/>
        <w:rPr>
          <w:sz w:val="23"/>
          <w:szCs w:val="23"/>
          <w:lang w:val="uk-UA"/>
        </w:rPr>
      </w:pPr>
      <w:r w:rsidRPr="009C3F31">
        <w:rPr>
          <w:sz w:val="23"/>
          <w:szCs w:val="23"/>
          <w:lang w:val="uk-UA"/>
        </w:rPr>
        <w:t xml:space="preserve"> - КЕКВ 2270 (Оплата комунальних послуг та енергоносіїв) – 571,8 тис. грн., а саме: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електроенергії – 381,0 тис. грн;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водопостачання та водовідведення – 14,3 тис. грн;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інших енергоносіїв – 5,0 тис. грн.</w:t>
      </w:r>
    </w:p>
    <w:p w:rsidR="009C3F31" w:rsidRPr="009C3F31" w:rsidRDefault="009C3F31" w:rsidP="009C3F31">
      <w:pPr>
        <w:ind w:left="284" w:firstLine="425"/>
        <w:jc w:val="both"/>
        <w:rPr>
          <w:color w:val="000000"/>
          <w:sz w:val="23"/>
          <w:szCs w:val="23"/>
          <w:lang w:val="uk-UA"/>
        </w:rPr>
      </w:pPr>
      <w:r w:rsidRPr="009C3F31">
        <w:rPr>
          <w:color w:val="000000"/>
          <w:sz w:val="23"/>
          <w:szCs w:val="23"/>
          <w:lang w:val="uk-UA"/>
        </w:rPr>
        <w:t xml:space="preserve">       - Оплата теплопостачання – 171,5 тис.грн. </w:t>
      </w: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  <w:r w:rsidRPr="009C3F31">
        <w:rPr>
          <w:b/>
          <w:sz w:val="23"/>
          <w:szCs w:val="23"/>
          <w:lang w:val="uk-UA"/>
        </w:rPr>
        <w:t xml:space="preserve">            </w:t>
      </w:r>
    </w:p>
    <w:p w:rsidR="009C3F31" w:rsidRPr="009C3F31" w:rsidRDefault="009C3F31" w:rsidP="009C3F31">
      <w:pPr>
        <w:jc w:val="both"/>
        <w:rPr>
          <w:sz w:val="23"/>
          <w:szCs w:val="23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tabs>
          <w:tab w:val="left" w:pos="8070"/>
        </w:tabs>
        <w:ind w:left="567"/>
        <w:jc w:val="both"/>
        <w:rPr>
          <w:b/>
          <w:sz w:val="28"/>
          <w:szCs w:val="28"/>
          <w:lang w:val="uk-UA"/>
        </w:rPr>
      </w:pPr>
      <w:r w:rsidRPr="009C3F31">
        <w:rPr>
          <w:b/>
          <w:sz w:val="28"/>
          <w:szCs w:val="28"/>
          <w:lang w:val="uk-UA"/>
        </w:rPr>
        <w:t>Секретар міської ради</w:t>
      </w:r>
      <w:r w:rsidRPr="009C3F3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Pr="009C3F31">
        <w:rPr>
          <w:b/>
          <w:sz w:val="28"/>
          <w:szCs w:val="28"/>
          <w:lang w:val="uk-UA"/>
        </w:rPr>
        <w:t>Лідія ОВЕРЧУК</w:t>
      </w: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pStyle w:val="a5"/>
        <w:ind w:left="567"/>
        <w:jc w:val="both"/>
        <w:rPr>
          <w:sz w:val="24"/>
          <w:szCs w:val="24"/>
          <w:lang w:val="uk-UA"/>
        </w:rPr>
      </w:pPr>
    </w:p>
    <w:p w:rsidR="009C3F31" w:rsidRPr="009C3F31" w:rsidRDefault="009C3F31" w:rsidP="009C3F31">
      <w:pPr>
        <w:jc w:val="both"/>
        <w:rPr>
          <w:b/>
          <w:color w:val="000000"/>
          <w:sz w:val="24"/>
          <w:szCs w:val="24"/>
          <w:lang w:val="uk-UA"/>
        </w:rPr>
      </w:pPr>
      <w:r w:rsidRPr="009C3F31">
        <w:rPr>
          <w:b/>
          <w:color w:val="000000"/>
          <w:sz w:val="24"/>
          <w:szCs w:val="24"/>
          <w:lang w:val="uk-UA"/>
        </w:rPr>
        <w:t xml:space="preserve">            </w:t>
      </w:r>
    </w:p>
    <w:p w:rsidR="009C3F31" w:rsidRPr="00760902" w:rsidRDefault="009C3F31" w:rsidP="009C3F31">
      <w:pPr>
        <w:jc w:val="both"/>
        <w:rPr>
          <w:sz w:val="28"/>
          <w:szCs w:val="28"/>
          <w:lang w:val="uk-UA"/>
        </w:rPr>
      </w:pPr>
      <w:r w:rsidRPr="009C3F31">
        <w:rPr>
          <w:b/>
          <w:color w:val="000000"/>
          <w:sz w:val="24"/>
          <w:szCs w:val="24"/>
          <w:lang w:val="uk-UA"/>
        </w:rPr>
        <w:t xml:space="preserve">             </w:t>
      </w:r>
      <w:r w:rsidRPr="009C3F31">
        <w:rPr>
          <w:sz w:val="24"/>
          <w:szCs w:val="24"/>
          <w:lang w:val="uk-UA"/>
        </w:rPr>
        <w:t xml:space="preserve"> </w:t>
      </w:r>
    </w:p>
    <w:p w:rsidR="009C3F31" w:rsidRPr="001634AC" w:rsidRDefault="009C3F31" w:rsidP="009C3F31">
      <w:pPr>
        <w:ind w:left="709"/>
        <w:rPr>
          <w:sz w:val="24"/>
          <w:szCs w:val="24"/>
        </w:rPr>
      </w:pPr>
      <w:r>
        <w:rPr>
          <w:b/>
          <w:color w:val="000000"/>
          <w:sz w:val="24"/>
          <w:szCs w:val="24"/>
          <w:lang w:val="uk-UA"/>
        </w:rPr>
        <w:t xml:space="preserve">  </w:t>
      </w: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9C3F31" w:rsidRPr="001634AC" w:rsidRDefault="009C3F31" w:rsidP="009C3F31">
      <w:pPr>
        <w:rPr>
          <w:sz w:val="24"/>
          <w:szCs w:val="24"/>
        </w:rPr>
      </w:pPr>
    </w:p>
    <w:p w:rsidR="00391F27" w:rsidRDefault="003C7685"/>
    <w:sectPr w:rsidR="00391F27" w:rsidSect="004C561F">
      <w:pgSz w:w="11906" w:h="16838" w:code="9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685" w:rsidRDefault="003C7685" w:rsidP="009C3F31">
      <w:r>
        <w:separator/>
      </w:r>
    </w:p>
  </w:endnote>
  <w:endnote w:type="continuationSeparator" w:id="0">
    <w:p w:rsidR="003C7685" w:rsidRDefault="003C7685" w:rsidP="009C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685" w:rsidRDefault="003C7685" w:rsidP="009C3F31">
      <w:r>
        <w:separator/>
      </w:r>
    </w:p>
  </w:footnote>
  <w:footnote w:type="continuationSeparator" w:id="0">
    <w:p w:rsidR="003C7685" w:rsidRDefault="003C7685" w:rsidP="009C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1106B"/>
    <w:multiLevelType w:val="hybridMultilevel"/>
    <w:tmpl w:val="F0662528"/>
    <w:lvl w:ilvl="0" w:tplc="80466144">
      <w:start w:val="1"/>
      <w:numFmt w:val="bullet"/>
      <w:lvlText w:val="-"/>
      <w:lvlJc w:val="left"/>
      <w:pPr>
        <w:ind w:left="75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F31"/>
    <w:rsid w:val="003C7685"/>
    <w:rsid w:val="00464B5D"/>
    <w:rsid w:val="00791BB3"/>
    <w:rsid w:val="009B5092"/>
    <w:rsid w:val="009C3F31"/>
    <w:rsid w:val="00A75AB4"/>
    <w:rsid w:val="00B208D3"/>
    <w:rsid w:val="00BE4AB0"/>
    <w:rsid w:val="00D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9A"/>
  <w15:docId w15:val="{964772E2-CE61-4148-8D91-1B332968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9C3F31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3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Body Text"/>
    <w:basedOn w:val="a"/>
    <w:link w:val="a4"/>
    <w:rsid w:val="009C3F31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9C3F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C3F3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C3F3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9C3F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9C3F3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9C3F31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3092</Words>
  <Characters>1763</Characters>
  <Application>Microsoft Office Word</Application>
  <DocSecurity>0</DocSecurity>
  <Lines>14</Lines>
  <Paragraphs>9</Paragraphs>
  <ScaleCrop>false</ScaleCrop>
  <Company>SPecialiST RePack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dcterms:created xsi:type="dcterms:W3CDTF">2026-05-08T08:41:00Z</dcterms:created>
  <dcterms:modified xsi:type="dcterms:W3CDTF">2026-05-08T13:08:00Z</dcterms:modified>
</cp:coreProperties>
</file>